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ind w:left="-15" w:right="-15" w:firstLine="0"/>
        <w:rPr>
          <w:rFonts w:ascii="Yellowtail" w:cs="Yellowtail" w:eastAsia="Yellowtail" w:hAnsi="Yellowtail"/>
          <w:sz w:val="36"/>
          <w:szCs w:val="36"/>
        </w:rPr>
      </w:pPr>
      <w:bookmarkStart w:colFirst="0" w:colLast="0" w:name="_heading=h.gjdgxs" w:id="0"/>
      <w:bookmarkEnd w:id="0"/>
      <w:r w:rsidDel="00000000" w:rsidR="00000000" w:rsidRPr="00000000">
        <w:rPr>
          <w:rFonts w:ascii="Yellowtail" w:cs="Yellowtail" w:eastAsia="Yellowtail" w:hAnsi="Yellowtail"/>
          <w:sz w:val="36"/>
          <w:szCs w:val="36"/>
        </w:rPr>
        <w:drawing>
          <wp:anchor allowOverlap="1" behindDoc="0" distB="114300" distT="114300" distL="114300" distR="114300" hidden="0" layoutInCell="1" locked="0" relativeHeight="0" simplePos="0">
            <wp:simplePos x="0" y="0"/>
            <wp:positionH relativeFrom="page">
              <wp:posOffset>5445696</wp:posOffset>
            </wp:positionH>
            <wp:positionV relativeFrom="page">
              <wp:posOffset>342900</wp:posOffset>
            </wp:positionV>
            <wp:extent cx="1012254" cy="1062038"/>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12254" cy="1062038"/>
                    </a:xfrm>
                    <a:prstGeom prst="rect"/>
                    <a:ln/>
                  </pic:spPr>
                </pic:pic>
              </a:graphicData>
            </a:graphic>
          </wp:anchor>
        </w:drawing>
      </w:r>
      <w:r w:rsidDel="00000000" w:rsidR="00000000" w:rsidRPr="00000000">
        <w:rPr>
          <w:rFonts w:ascii="Yellowtail" w:cs="Yellowtail" w:eastAsia="Yellowtail" w:hAnsi="Yellowtail"/>
          <w:sz w:val="36"/>
          <w:szCs w:val="36"/>
          <w:rtl w:val="0"/>
        </w:rPr>
        <w:t xml:space="preserve">Learning at River View</w:t>
      </w:r>
    </w:p>
    <w:p w:rsidR="00000000" w:rsidDel="00000000" w:rsidP="00000000" w:rsidRDefault="00000000" w:rsidRPr="00000000" w14:paraId="00000002">
      <w:pPr>
        <w:pStyle w:val="Title"/>
        <w:keepNext w:val="0"/>
        <w:keepLines w:val="0"/>
        <w:spacing w:after="0" w:line="240" w:lineRule="auto"/>
        <w:ind w:left="-15" w:right="-15" w:firstLine="0"/>
        <w:rPr>
          <w:rFonts w:ascii="Yanone Kaffeesatz" w:cs="Yanone Kaffeesatz" w:eastAsia="Yanone Kaffeesatz" w:hAnsi="Yanone Kaffeesatz"/>
          <w:color w:val="6aa84f"/>
          <w:sz w:val="68"/>
          <w:szCs w:val="68"/>
        </w:rPr>
      </w:pPr>
      <w:bookmarkStart w:colFirst="0" w:colLast="0" w:name="_heading=h.30j0zll" w:id="1"/>
      <w:bookmarkEnd w:id="1"/>
      <w:r w:rsidDel="00000000" w:rsidR="00000000" w:rsidRPr="00000000">
        <w:rPr>
          <w:rFonts w:ascii="Yanone Kaffeesatz" w:cs="Yanone Kaffeesatz" w:eastAsia="Yanone Kaffeesatz" w:hAnsi="Yanone Kaffeesatz"/>
          <w:color w:val="6aa84f"/>
          <w:sz w:val="68"/>
          <w:szCs w:val="68"/>
          <w:rtl w:val="0"/>
        </w:rPr>
        <w:t xml:space="preserve">SMSC</w:t>
      </w:r>
    </w:p>
    <w:p w:rsidR="00000000" w:rsidDel="00000000" w:rsidP="00000000" w:rsidRDefault="00000000" w:rsidRPr="00000000" w14:paraId="00000003">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4">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At River View, our aim is to educate the whole child in a way that prepares them fully for later life. We provide the foundation for fully developed citizens. We believe that English and maths are important but they need to be complemented by a wide range of skills, some of which can only be taught through shared experiences, challenges and adventures. We believe that it is our job to create well developed future citizens of Great Britain who have a love, knowledge and awareness of what it is to be a British citizen. Our role is to model and teach the values that children need to contribute effectively to society. There is no better way to do this than learning through experience. </w:t>
      </w:r>
    </w:p>
    <w:p w:rsidR="00000000" w:rsidDel="00000000" w:rsidP="00000000" w:rsidRDefault="00000000" w:rsidRPr="00000000" w14:paraId="00000005">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6">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In addition to the range of shared experiences, challenges and adventures, we deliver a scheme of work which prepares children for life and helps them to understand and value who they are and how they relate to other people in this ever-changing world. Our curriculum enables children to build a range of skills, self-esteem, resilience, and confidence.</w:t>
      </w:r>
    </w:p>
    <w:p w:rsidR="00000000" w:rsidDel="00000000" w:rsidP="00000000" w:rsidRDefault="00000000" w:rsidRPr="00000000" w14:paraId="00000007">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8">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At River View the SMSC curriculum is delivered through </w:t>
      </w:r>
      <w:r w:rsidDel="00000000" w:rsidR="00000000" w:rsidRPr="00000000">
        <w:rPr>
          <w:rFonts w:ascii="Tahoma" w:cs="Tahoma" w:eastAsia="Tahoma" w:hAnsi="Tahoma"/>
          <w:i w:val="1"/>
          <w:sz w:val="24"/>
          <w:szCs w:val="24"/>
          <w:rtl w:val="0"/>
        </w:rPr>
        <w:t xml:space="preserve">The JIGSAW Program</w:t>
      </w:r>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009">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This programme provides whole-school opportunities to enhance the positive ethos of the whole school community. The curriculum is broken down into 6 areas: Being Me in My World, Celebrating Difference, Dreams and Goals, Healthy Me, Relationships and Changing Me.  We  also recognise that  it is vital to equip children with the skills necessary to keep them safe. This includes delivering first aid and water safety lessons.</w:t>
      </w:r>
    </w:p>
    <w:p w:rsidR="00000000" w:rsidDel="00000000" w:rsidP="00000000" w:rsidRDefault="00000000" w:rsidRPr="00000000" w14:paraId="0000000A">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B">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curriculum covers all aspects of Relationships, Sex and Health Education (RSHE) within the context of a full program in an age-appropriate way.  </w:t>
      </w:r>
    </w:p>
    <w:p w:rsidR="00000000" w:rsidDel="00000000" w:rsidP="00000000" w:rsidRDefault="00000000" w:rsidRPr="00000000" w14:paraId="0000000C">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‘Sex Education’ The DFE statutory guidance (England 2019) expects schools to deliver work on puberty. The specific sex education content (puberty and human reproduction) is taught through the Changing Me unit of work.</w:t>
      </w:r>
    </w:p>
    <w:p w:rsidR="00000000" w:rsidDel="00000000" w:rsidP="00000000" w:rsidRDefault="00000000" w:rsidRPr="00000000" w14:paraId="0000000D">
      <w:pPr>
        <w:spacing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E">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Our SMSC curriculum develops each area as outlined below;</w:t>
      </w:r>
    </w:p>
    <w:p w:rsidR="00000000" w:rsidDel="00000000" w:rsidP="00000000" w:rsidRDefault="00000000" w:rsidRPr="00000000" w14:paraId="0000000F">
      <w:pPr>
        <w:numPr>
          <w:ilvl w:val="0"/>
          <w:numId w:val="1"/>
        </w:numPr>
        <w:spacing w:line="240" w:lineRule="auto"/>
        <w:ind w:left="345" w:firstLine="0"/>
        <w:rPr>
          <w:sz w:val="24"/>
          <w:szCs w:val="24"/>
        </w:rPr>
      </w:pPr>
      <w:r w:rsidDel="00000000" w:rsidR="00000000" w:rsidRPr="00000000">
        <w:rPr>
          <w:rFonts w:ascii="Tahoma" w:cs="Tahoma" w:eastAsia="Tahoma" w:hAnsi="Tahoma"/>
          <w:b w:val="1"/>
          <w:sz w:val="24"/>
          <w:szCs w:val="24"/>
          <w:rtl w:val="0"/>
        </w:rPr>
        <w:t xml:space="preserve">spiritual development</w:t>
      </w:r>
      <w:r w:rsidDel="00000000" w:rsidR="00000000" w:rsidRPr="00000000">
        <w:rPr>
          <w:rFonts w:ascii="Tahoma" w:cs="Tahoma" w:eastAsia="Tahoma" w:hAnsi="Tahoma"/>
          <w:sz w:val="24"/>
          <w:szCs w:val="24"/>
          <w:rtl w:val="0"/>
        </w:rPr>
        <w:t xml:space="preserve"> Children develop their ability to be reflective about their own beliefs; enjoy learning about themselves, others and the world around them; develop respect for different people’s faiths and values and care for their local and global environment.</w:t>
      </w:r>
    </w:p>
    <w:p w:rsidR="00000000" w:rsidDel="00000000" w:rsidP="00000000" w:rsidRDefault="00000000" w:rsidRPr="00000000" w14:paraId="00000010">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345" w:firstLine="0"/>
        <w:rPr>
          <w:sz w:val="24"/>
          <w:szCs w:val="24"/>
        </w:rPr>
      </w:pPr>
      <w:r w:rsidDel="00000000" w:rsidR="00000000" w:rsidRPr="00000000">
        <w:rPr>
          <w:rFonts w:ascii="Tahoma" w:cs="Tahoma" w:eastAsia="Tahoma" w:hAnsi="Tahoma"/>
          <w:b w:val="1"/>
          <w:sz w:val="24"/>
          <w:szCs w:val="24"/>
          <w:rtl w:val="0"/>
        </w:rPr>
        <w:t xml:space="preserve">moral development</w:t>
      </w:r>
      <w:r w:rsidDel="00000000" w:rsidR="00000000" w:rsidRPr="00000000">
        <w:rPr>
          <w:rFonts w:ascii="Tahoma" w:cs="Tahoma" w:eastAsia="Tahoma" w:hAnsi="Tahoma"/>
          <w:sz w:val="24"/>
          <w:szCs w:val="24"/>
          <w:rtl w:val="0"/>
        </w:rPr>
        <w:t xml:space="preserve"> children can recognise the difference between right and wrong; respect both the civil and criminal law of England and understand the consequences of their behaviour and actions.</w:t>
      </w:r>
    </w:p>
    <w:p w:rsidR="00000000" w:rsidDel="00000000" w:rsidP="00000000" w:rsidRDefault="00000000" w:rsidRPr="00000000" w14:paraId="00000012">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345" w:firstLine="0"/>
        <w:rPr>
          <w:sz w:val="24"/>
          <w:szCs w:val="24"/>
        </w:rPr>
      </w:pPr>
      <w:r w:rsidDel="00000000" w:rsidR="00000000" w:rsidRPr="00000000">
        <w:rPr>
          <w:rFonts w:ascii="Tahoma" w:cs="Tahoma" w:eastAsia="Tahoma" w:hAnsi="Tahoma"/>
          <w:b w:val="1"/>
          <w:sz w:val="24"/>
          <w:szCs w:val="24"/>
          <w:rtl w:val="0"/>
        </w:rPr>
        <w:t xml:space="preserve">social development</w:t>
      </w:r>
      <w:r w:rsidDel="00000000" w:rsidR="00000000" w:rsidRPr="00000000">
        <w:rPr>
          <w:rFonts w:ascii="Tahoma" w:cs="Tahoma" w:eastAsia="Tahoma" w:hAnsi="Tahoma"/>
          <w:sz w:val="24"/>
          <w:szCs w:val="24"/>
          <w:rtl w:val="0"/>
        </w:rPr>
        <w:t xml:space="preserve"> children use a range of social skills in different contexts; participate in the local community; resolve conflict; and begin to have an appreciation of ‘British values’ through charity projects, School Council and helping within the community.</w:t>
      </w:r>
    </w:p>
    <w:p w:rsidR="00000000" w:rsidDel="00000000" w:rsidP="00000000" w:rsidRDefault="00000000" w:rsidRPr="00000000" w14:paraId="00000014">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345" w:firstLine="0"/>
        <w:rPr>
          <w:sz w:val="24"/>
          <w:szCs w:val="24"/>
        </w:rPr>
      </w:pPr>
      <w:r w:rsidDel="00000000" w:rsidR="00000000" w:rsidRPr="00000000">
        <w:rPr>
          <w:rFonts w:ascii="Tahoma" w:cs="Tahoma" w:eastAsia="Tahoma" w:hAnsi="Tahoma"/>
          <w:b w:val="1"/>
          <w:sz w:val="24"/>
          <w:szCs w:val="24"/>
          <w:rtl w:val="0"/>
        </w:rPr>
        <w:t xml:space="preserve">cultural development</w:t>
      </w:r>
      <w:r w:rsidDel="00000000" w:rsidR="00000000" w:rsidRPr="00000000">
        <w:rPr>
          <w:rFonts w:ascii="Tahoma" w:cs="Tahoma" w:eastAsia="Tahoma" w:hAnsi="Tahoma"/>
          <w:sz w:val="24"/>
          <w:szCs w:val="24"/>
          <w:rtl w:val="0"/>
        </w:rPr>
        <w:t xml:space="preserve"> children understand and appreciate the wide range of cultural influences; participate in and respond positively to artistic, musical, sporting and cultural opportunities and understand, respect and celebrate diversity. </w:t>
      </w:r>
      <w:r w:rsidDel="00000000" w:rsidR="00000000" w:rsidRPr="00000000">
        <w:rPr>
          <w:rtl w:val="0"/>
        </w:rPr>
      </w:r>
    </w:p>
    <w:p w:rsidR="00000000" w:rsidDel="00000000" w:rsidP="00000000" w:rsidRDefault="00000000" w:rsidRPr="00000000" w14:paraId="00000016">
      <w:pPr>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17">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SMSC curriculum ensures that children move to the next stage of their education with a positive self-image and a sense of identity. They are interested in and keen to make a positive contribution to society. They will be able to make relationships, communicate effectively, work with others, value self and others and become healthy individuals.</w:t>
      </w:r>
      <w:r w:rsidDel="00000000" w:rsidR="00000000" w:rsidRPr="00000000">
        <w:rPr>
          <w:rtl w:val="0"/>
        </w:rPr>
      </w:r>
    </w:p>
    <w:p w:rsidR="00000000" w:rsidDel="00000000" w:rsidP="00000000" w:rsidRDefault="00000000" w:rsidRPr="00000000" w14:paraId="00000018">
      <w:pPr>
        <w:rPr>
          <w:rFonts w:ascii="Tahoma" w:cs="Tahoma" w:eastAsia="Tahoma" w:hAnsi="Tahoma"/>
          <w:sz w:val="24"/>
          <w:szCs w:val="24"/>
          <w:highlight w:val="white"/>
        </w:rPr>
      </w:pPr>
      <w:bookmarkStart w:colFirst="0" w:colLast="0" w:name="_heading=h.1fob9te" w:id="2"/>
      <w:bookmarkEnd w:id="2"/>
      <w:r w:rsidDel="00000000" w:rsidR="00000000" w:rsidRPr="00000000">
        <w:rPr>
          <w:rtl w:val="0"/>
        </w:rPr>
      </w:r>
    </w:p>
    <w:p w:rsidR="00000000" w:rsidDel="00000000" w:rsidP="00000000" w:rsidRDefault="00000000" w:rsidRPr="00000000" w14:paraId="00000019">
      <w:pPr>
        <w:rPr>
          <w:rFonts w:ascii="Tahoma" w:cs="Tahoma" w:eastAsia="Tahoma" w:hAnsi="Tahoma"/>
          <w:sz w:val="24"/>
          <w:szCs w:val="24"/>
        </w:rPr>
      </w:pPr>
      <w:r w:rsidDel="00000000" w:rsidR="00000000" w:rsidRPr="00000000">
        <w:rPr>
          <w:rFonts w:ascii="Tahoma" w:cs="Tahoma" w:eastAsia="Tahoma" w:hAnsi="Tahoma"/>
          <w:sz w:val="24"/>
          <w:szCs w:val="24"/>
          <w:highlight w:val="white"/>
          <w:rtl w:val="0"/>
        </w:rPr>
        <w:t xml:space="preserve">Teaching British Values is an important aspect of the curriculum, our children are taught to accept and engage with the British values of democracy, the rule of law, individual liberty and mutual respect and tolerance of those with different faiths and beliefs. They will develop and demonstrate skills and attitudes that will allow them to participate fully in and contribute positively to life in Britain.  </w:t>
      </w:r>
      <w:r w:rsidDel="00000000" w:rsidR="00000000" w:rsidRPr="00000000">
        <w:rPr>
          <w:rFonts w:ascii="Tahoma" w:cs="Tahoma" w:eastAsia="Tahoma" w:hAnsi="Tahoma"/>
          <w:sz w:val="24"/>
          <w:szCs w:val="24"/>
          <w:rtl w:val="0"/>
        </w:rPr>
        <w:t xml:space="preserve"> Children are provided with opportunities to develop their understanding of right and wrong, rules and law, being respectful, freedom of choice, diversity and developing self-esteem and confidence throughout school.  </w:t>
      </w:r>
    </w:p>
    <w:p w:rsidR="00000000" w:rsidDel="00000000" w:rsidP="00000000" w:rsidRDefault="00000000" w:rsidRPr="00000000" w14:paraId="0000001A">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B">
      <w:pPr>
        <w:spacing w:line="276"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National Curriculum requirements are taught and assessed in each year group. The SMSC documents clearly outline previous and subsequent year groups’ content to link learning and build on previous knowledge and skills.</w:t>
      </w:r>
    </w:p>
    <w:p w:rsidR="00000000" w:rsidDel="00000000" w:rsidP="00000000" w:rsidRDefault="00000000" w:rsidRPr="00000000" w14:paraId="0000001C">
      <w:pPr>
        <w:spacing w:line="276"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D">
      <w:pPr>
        <w:spacing w:line="276"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We measure the impact of our SMSC curriculum through the following methods:  </w:t>
      </w:r>
    </w:p>
    <w:p w:rsidR="00000000" w:rsidDel="00000000" w:rsidP="00000000" w:rsidRDefault="00000000" w:rsidRPr="00000000" w14:paraId="0000001E">
      <w:pPr>
        <w:spacing w:line="276"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F">
      <w:pPr>
        <w:numPr>
          <w:ilvl w:val="0"/>
          <w:numId w:val="2"/>
        </w:numPr>
        <w:spacing w:line="276" w:lineRule="auto"/>
        <w:ind w:left="720" w:hanging="360"/>
        <w:rPr>
          <w:rFonts w:ascii="Tahoma" w:cs="Tahoma" w:eastAsia="Tahoma" w:hAnsi="Tahoma"/>
          <w:color w:val="000000"/>
          <w:sz w:val="24"/>
          <w:szCs w:val="24"/>
        </w:rPr>
      </w:pPr>
      <w:r w:rsidDel="00000000" w:rsidR="00000000" w:rsidRPr="00000000">
        <w:rPr>
          <w:rFonts w:ascii="Tahoma" w:cs="Tahoma" w:eastAsia="Tahoma" w:hAnsi="Tahoma"/>
          <w:sz w:val="24"/>
          <w:szCs w:val="24"/>
          <w:rtl w:val="0"/>
        </w:rPr>
        <w:t xml:space="preserve">Low-stake quizzes</w:t>
      </w:r>
    </w:p>
    <w:p w:rsidR="00000000" w:rsidDel="00000000" w:rsidP="00000000" w:rsidRDefault="00000000" w:rsidRPr="00000000" w14:paraId="00000020">
      <w:pPr>
        <w:numPr>
          <w:ilvl w:val="0"/>
          <w:numId w:val="2"/>
        </w:numPr>
        <w:spacing w:line="276" w:lineRule="auto"/>
        <w:ind w:left="720" w:hanging="360"/>
        <w:rPr>
          <w:rFonts w:ascii="Tahoma" w:cs="Tahoma" w:eastAsia="Tahoma" w:hAnsi="Tahoma"/>
          <w:color w:val="000000"/>
          <w:sz w:val="24"/>
          <w:szCs w:val="24"/>
        </w:rPr>
      </w:pPr>
      <w:r w:rsidDel="00000000" w:rsidR="00000000" w:rsidRPr="00000000">
        <w:rPr>
          <w:rFonts w:ascii="Tahoma" w:cs="Tahoma" w:eastAsia="Tahoma" w:hAnsi="Tahoma"/>
          <w:sz w:val="24"/>
          <w:szCs w:val="24"/>
          <w:rtl w:val="0"/>
        </w:rPr>
        <w:t xml:space="preserve">Questioning </w:t>
      </w:r>
    </w:p>
    <w:p w:rsidR="00000000" w:rsidDel="00000000" w:rsidP="00000000" w:rsidRDefault="00000000" w:rsidRPr="00000000" w14:paraId="00000021">
      <w:pPr>
        <w:numPr>
          <w:ilvl w:val="0"/>
          <w:numId w:val="2"/>
        </w:numPr>
        <w:spacing w:line="276" w:lineRule="auto"/>
        <w:ind w:left="720" w:hanging="360"/>
        <w:rPr>
          <w:rFonts w:ascii="Tahoma" w:cs="Tahoma" w:eastAsia="Tahoma" w:hAnsi="Tahoma"/>
          <w:color w:val="000000"/>
          <w:sz w:val="24"/>
          <w:szCs w:val="24"/>
        </w:rPr>
      </w:pPr>
      <w:r w:rsidDel="00000000" w:rsidR="00000000" w:rsidRPr="00000000">
        <w:rPr>
          <w:rFonts w:ascii="Tahoma" w:cs="Tahoma" w:eastAsia="Tahoma" w:hAnsi="Tahoma"/>
          <w:sz w:val="24"/>
          <w:szCs w:val="24"/>
          <w:rtl w:val="0"/>
        </w:rPr>
        <w:t xml:space="preserve">Discussion with children</w:t>
      </w:r>
    </w:p>
    <w:p w:rsidR="00000000" w:rsidDel="00000000" w:rsidP="00000000" w:rsidRDefault="00000000" w:rsidRPr="00000000" w14:paraId="00000022">
      <w:pPr>
        <w:numPr>
          <w:ilvl w:val="0"/>
          <w:numId w:val="2"/>
        </w:numPr>
        <w:spacing w:line="276" w:lineRule="auto"/>
        <w:ind w:left="720" w:hanging="360"/>
        <w:rPr>
          <w:rFonts w:ascii="Tahoma" w:cs="Tahoma" w:eastAsia="Tahoma" w:hAnsi="Tahoma"/>
          <w:color w:val="000000"/>
          <w:sz w:val="24"/>
          <w:szCs w:val="24"/>
        </w:rPr>
      </w:pPr>
      <w:r w:rsidDel="00000000" w:rsidR="00000000" w:rsidRPr="00000000">
        <w:rPr>
          <w:rFonts w:ascii="Tahoma" w:cs="Tahoma" w:eastAsia="Tahoma" w:hAnsi="Tahoma"/>
          <w:sz w:val="24"/>
          <w:szCs w:val="24"/>
          <w:rtl w:val="0"/>
        </w:rPr>
        <w:t xml:space="preserve">Observation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Yellowtail">
    <w:embedRegular w:fontKey="{00000000-0000-0000-0000-000000000000}" r:id="rId1" w:subsetted="0"/>
  </w:font>
  <w:font w:name="Tahoma">
    <w:embedRegular w:fontKey="{00000000-0000-0000-0000-000000000000}" r:id="rId2" w:subsetted="0"/>
    <w:embedBold w:fontKey="{00000000-0000-0000-0000-000000000000}" r:id="rId3" w:subsetted="0"/>
  </w:font>
  <w:font w:name="Yanone Kaffeesatz">
    <w:embedRegular w:fontKey="{00000000-0000-0000-0000-000000000000}" r:id="rId4" w:subsetted="0"/>
    <w:embedBold w:fontKey="{00000000-0000-0000-0000-000000000000}" r:id="rId5"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NormalWeb">
    <w:name w:val="Normal (Web)"/>
    <w:basedOn w:val="Normal"/>
    <w:uiPriority w:val="99"/>
    <w:semiHidden w:val="1"/>
    <w:unhideWhenUsed w:val="1"/>
    <w:rsid w:val="00F73942"/>
    <w:pPr>
      <w:spacing w:after="100" w:afterAutospacing="1" w:before="100" w:beforeAutospacing="1" w:line="240" w:lineRule="auto"/>
    </w:pPr>
    <w:rPr>
      <w:rFonts w:ascii="Times New Roman" w:cs="Times New Roman" w:eastAsia="Times New Roman" w:hAnsi="Times New Roman"/>
      <w:sz w:val="24"/>
      <w:szCs w:val="24"/>
      <w:lang w:val="en-GB"/>
    </w:rPr>
  </w:style>
  <w:style w:type="paragraph" w:styleId="ListParagraph">
    <w:name w:val="List Paragraph"/>
    <w:basedOn w:val="Normal"/>
    <w:uiPriority w:val="34"/>
    <w:qFormat w:val="1"/>
    <w:rsid w:val="00A22236"/>
    <w:pPr>
      <w:ind w:left="720"/>
      <w:contextualSpacing w:val="1"/>
    </w:pPr>
  </w:style>
  <w:style w:type="paragraph" w:styleId="BalloonText">
    <w:name w:val="Balloon Text"/>
    <w:basedOn w:val="Normal"/>
    <w:link w:val="BalloonTextChar"/>
    <w:uiPriority w:val="99"/>
    <w:semiHidden w:val="1"/>
    <w:unhideWhenUsed w:val="1"/>
    <w:rsid w:val="00944F63"/>
    <w:pPr>
      <w:spacing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val="1"/>
    <w:rsid w:val="00944F63"/>
    <w:rPr>
      <w:rFonts w:ascii="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Tahoma-regular.ttf"/><Relationship Id="rId3" Type="http://schemas.openxmlformats.org/officeDocument/2006/relationships/font" Target="fonts/Tahoma-bold.ttf"/><Relationship Id="rId4" Type="http://schemas.openxmlformats.org/officeDocument/2006/relationships/font" Target="fonts/YanoneKaffeesatz-regular.ttf"/><Relationship Id="rId5" Type="http://schemas.openxmlformats.org/officeDocument/2006/relationships/font" Target="fonts/YanoneKaffeesatz-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eNO8n7jgQT3P7q+YyVYxUU6COw==">AMUW2mXhdNCKj107B7mtF7cR2pwcVM4oyC+9lNWCuCXz2F1LfctapL5cULZ5t/AyolCX3y0SHxVoQPkAM1SNlfRH0Fqc2adgF267WlRJv4dRI1JHJJBtuP88TeHPpbfX+6jQjJ83Ve7YWZtln2OkNG1DfcTxN06e4w==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2020-07-17T11:33:00Z</dcterms:created>
  <dc:creator>Rebecca</dc:creator>
</cp:coreProperties>
</file>